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9F1" w14:textId="77777777" w:rsidR="00480F36" w:rsidRPr="002A1B86" w:rsidRDefault="00480F36" w:rsidP="00480F36">
      <w:pPr>
        <w:rPr>
          <w:sz w:val="28"/>
          <w:szCs w:val="28"/>
        </w:rPr>
      </w:pPr>
      <w:r w:rsidRPr="002A1B86">
        <w:rPr>
          <w:sz w:val="28"/>
          <w:szCs w:val="28"/>
        </w:rPr>
        <w:t>L’Association Louise-Gosford</w:t>
      </w:r>
      <w:r w:rsidRPr="002A1B86">
        <w:rPr>
          <w:sz w:val="28"/>
          <w:szCs w:val="28"/>
        </w:rPr>
        <w:tab/>
      </w:r>
      <w:r w:rsidRPr="002A1B86">
        <w:rPr>
          <w:sz w:val="28"/>
          <w:szCs w:val="28"/>
        </w:rPr>
        <w:tab/>
      </w:r>
      <w:r w:rsidRPr="002A1B86">
        <w:rPr>
          <w:sz w:val="28"/>
          <w:szCs w:val="28"/>
        </w:rPr>
        <w:tab/>
      </w:r>
      <w:r w:rsidRPr="002A1B86">
        <w:rPr>
          <w:sz w:val="28"/>
          <w:szCs w:val="28"/>
        </w:rPr>
        <w:tab/>
      </w:r>
      <w:r w:rsidRPr="002A1B86">
        <w:rPr>
          <w:sz w:val="28"/>
          <w:szCs w:val="28"/>
        </w:rPr>
        <w:tab/>
      </w:r>
      <w:r w:rsidRPr="002A1B86">
        <w:rPr>
          <w:noProof/>
          <w:sz w:val="28"/>
          <w:szCs w:val="28"/>
        </w:rPr>
        <w:drawing>
          <wp:inline distT="0" distB="0" distL="0" distR="0" wp14:anchorId="70BF6400" wp14:editId="796C3D7F">
            <wp:extent cx="1252847" cy="1276598"/>
            <wp:effectExtent l="0" t="0" r="5080" b="0"/>
            <wp:docPr id="10" name="Image 9"/>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5" cstate="print"/>
                    <a:stretch>
                      <a:fillRect/>
                    </a:stretch>
                  </pic:blipFill>
                  <pic:spPr>
                    <a:xfrm>
                      <a:off x="0" y="0"/>
                      <a:ext cx="1254525" cy="1278308"/>
                    </a:xfrm>
                    <a:prstGeom prst="rect">
                      <a:avLst/>
                    </a:prstGeom>
                  </pic:spPr>
                </pic:pic>
              </a:graphicData>
            </a:graphic>
          </wp:inline>
        </w:drawing>
      </w:r>
    </w:p>
    <w:p w14:paraId="67F93ED3" w14:textId="05911BF0" w:rsidR="00480F36" w:rsidRPr="002A1B86" w:rsidRDefault="00480F36" w:rsidP="00480F36">
      <w:pPr>
        <w:rPr>
          <w:sz w:val="28"/>
          <w:szCs w:val="28"/>
        </w:rPr>
      </w:pPr>
      <w:r w:rsidRPr="002A1B86">
        <w:rPr>
          <w:sz w:val="28"/>
          <w:szCs w:val="28"/>
        </w:rPr>
        <w:t>Cas</w:t>
      </w:r>
      <w:r w:rsidR="00405DAD">
        <w:rPr>
          <w:sz w:val="28"/>
          <w:szCs w:val="28"/>
        </w:rPr>
        <w:t>e</w:t>
      </w:r>
      <w:r w:rsidRPr="002A1B86">
        <w:rPr>
          <w:sz w:val="28"/>
          <w:szCs w:val="28"/>
        </w:rPr>
        <w:t xml:space="preserve"> Postal 4</w:t>
      </w:r>
    </w:p>
    <w:p w14:paraId="5FEC2168" w14:textId="77777777" w:rsidR="00480F36" w:rsidRPr="002A1B86" w:rsidRDefault="00480F36" w:rsidP="00480F36">
      <w:pPr>
        <w:rPr>
          <w:sz w:val="28"/>
          <w:szCs w:val="28"/>
        </w:rPr>
      </w:pPr>
      <w:r w:rsidRPr="002A1B86">
        <w:rPr>
          <w:sz w:val="28"/>
          <w:szCs w:val="28"/>
        </w:rPr>
        <w:t>Lac-Mégantic, Québec</w:t>
      </w:r>
    </w:p>
    <w:p w14:paraId="00CA7D2F" w14:textId="77777777" w:rsidR="00480F36" w:rsidRPr="002A1B86" w:rsidRDefault="00480F36" w:rsidP="00480F36">
      <w:pPr>
        <w:rPr>
          <w:sz w:val="28"/>
          <w:szCs w:val="28"/>
        </w:rPr>
      </w:pPr>
      <w:r w:rsidRPr="002A1B86">
        <w:rPr>
          <w:sz w:val="28"/>
          <w:szCs w:val="28"/>
        </w:rPr>
        <w:t>G6B 2S5</w:t>
      </w:r>
    </w:p>
    <w:p w14:paraId="733124DA" w14:textId="77777777" w:rsidR="00480F36" w:rsidRPr="002A1B86" w:rsidRDefault="00480F36" w:rsidP="00480F36">
      <w:pPr>
        <w:rPr>
          <w:sz w:val="28"/>
          <w:szCs w:val="28"/>
        </w:rPr>
      </w:pPr>
      <w:r w:rsidRPr="002A1B86">
        <w:rPr>
          <w:sz w:val="28"/>
          <w:szCs w:val="28"/>
        </w:rPr>
        <w:t xml:space="preserve">Courriel : </w:t>
      </w:r>
      <w:r w:rsidRPr="002A1B86">
        <w:rPr>
          <w:sz w:val="28"/>
          <w:szCs w:val="28"/>
          <w:bdr w:val="none" w:sz="0" w:space="0" w:color="auto" w:frame="1"/>
        </w:rPr>
        <w:t>administration@louisegosford.ca</w:t>
      </w:r>
    </w:p>
    <w:p w14:paraId="3F5FA28D" w14:textId="77777777" w:rsidR="00480F36" w:rsidRPr="002A1B86" w:rsidRDefault="00480F36" w:rsidP="00480F36">
      <w:pPr>
        <w:rPr>
          <w:color w:val="000000"/>
          <w:sz w:val="28"/>
          <w:szCs w:val="28"/>
          <w:bdr w:val="none" w:sz="0" w:space="0" w:color="auto" w:frame="1"/>
        </w:rPr>
      </w:pPr>
      <w:r w:rsidRPr="002A1B86">
        <w:rPr>
          <w:color w:val="323130"/>
          <w:sz w:val="28"/>
          <w:szCs w:val="28"/>
          <w:bdr w:val="none" w:sz="0" w:space="0" w:color="auto" w:frame="1"/>
        </w:rPr>
        <w:br/>
      </w:r>
    </w:p>
    <w:p w14:paraId="3D3F8E24" w14:textId="2AE96895" w:rsidR="00480F36" w:rsidRPr="002A1B86" w:rsidRDefault="00480F36" w:rsidP="00480F36">
      <w:pPr>
        <w:rPr>
          <w:color w:val="242424"/>
          <w:sz w:val="28"/>
          <w:szCs w:val="28"/>
          <w:bdr w:val="none" w:sz="0" w:space="0" w:color="auto" w:frame="1"/>
        </w:rPr>
      </w:pPr>
      <w:r w:rsidRPr="002A1B86">
        <w:rPr>
          <w:color w:val="242424"/>
          <w:sz w:val="28"/>
          <w:szCs w:val="28"/>
          <w:bdr w:val="none" w:sz="0" w:space="0" w:color="auto" w:frame="1"/>
        </w:rPr>
        <w:t>M</w:t>
      </w:r>
      <w:r w:rsidR="00121E00" w:rsidRPr="002A1B86">
        <w:rPr>
          <w:color w:val="242424"/>
          <w:sz w:val="28"/>
          <w:szCs w:val="28"/>
          <w:bdr w:val="none" w:sz="0" w:space="0" w:color="auto" w:frame="1"/>
        </w:rPr>
        <w:t>. Éric Jaccard</w:t>
      </w:r>
      <w:r w:rsidR="00405DAD">
        <w:rPr>
          <w:color w:val="242424"/>
          <w:sz w:val="28"/>
          <w:szCs w:val="28"/>
          <w:bdr w:val="none" w:sz="0" w:space="0" w:color="auto" w:frame="1"/>
        </w:rPr>
        <w:t>,</w:t>
      </w:r>
      <w:r w:rsidR="00121E00" w:rsidRPr="002A1B86">
        <w:rPr>
          <w:color w:val="242424"/>
          <w:sz w:val="28"/>
          <w:szCs w:val="28"/>
          <w:bdr w:val="none" w:sz="0" w:space="0" w:color="auto" w:frame="1"/>
        </w:rPr>
        <w:t xml:space="preserve"> </w:t>
      </w:r>
      <w:r w:rsidRPr="002A1B86">
        <w:rPr>
          <w:color w:val="242424"/>
          <w:sz w:val="28"/>
          <w:szCs w:val="28"/>
          <w:bdr w:val="none" w:sz="0" w:space="0" w:color="auto" w:frame="1"/>
        </w:rPr>
        <w:t>MRNF</w:t>
      </w:r>
    </w:p>
    <w:p w14:paraId="7A6DFB5F" w14:textId="575DDDEA" w:rsidR="00121E00" w:rsidRPr="002A1B86" w:rsidRDefault="00121E00" w:rsidP="00480F36">
      <w:pPr>
        <w:rPr>
          <w:color w:val="242424"/>
          <w:sz w:val="28"/>
          <w:szCs w:val="28"/>
          <w:bdr w:val="none" w:sz="0" w:space="0" w:color="auto" w:frame="1"/>
        </w:rPr>
      </w:pPr>
      <w:r w:rsidRPr="002A1B86">
        <w:rPr>
          <w:color w:val="242424"/>
          <w:sz w:val="28"/>
          <w:szCs w:val="28"/>
          <w:bdr w:val="none" w:sz="0" w:space="0" w:color="auto" w:frame="1"/>
        </w:rPr>
        <w:t>M. Mathieu Provost</w:t>
      </w:r>
      <w:r w:rsidR="00405DAD">
        <w:rPr>
          <w:color w:val="242424"/>
          <w:sz w:val="28"/>
          <w:szCs w:val="28"/>
          <w:bdr w:val="none" w:sz="0" w:space="0" w:color="auto" w:frame="1"/>
        </w:rPr>
        <w:t>,</w:t>
      </w:r>
      <w:r w:rsidRPr="002A1B86">
        <w:rPr>
          <w:color w:val="242424"/>
          <w:sz w:val="28"/>
          <w:szCs w:val="28"/>
          <w:bdr w:val="none" w:sz="0" w:space="0" w:color="auto" w:frame="1"/>
        </w:rPr>
        <w:t xml:space="preserve"> Table GIRT</w:t>
      </w:r>
    </w:p>
    <w:p w14:paraId="6F7CFFC7" w14:textId="47174647" w:rsidR="00991372" w:rsidRPr="002A1B86" w:rsidRDefault="00991372" w:rsidP="00480F36">
      <w:pPr>
        <w:rPr>
          <w:color w:val="242424"/>
          <w:sz w:val="28"/>
          <w:szCs w:val="28"/>
          <w:bdr w:val="none" w:sz="0" w:space="0" w:color="auto" w:frame="1"/>
        </w:rPr>
      </w:pPr>
      <w:r w:rsidRPr="002A1B86">
        <w:rPr>
          <w:color w:val="242424"/>
          <w:sz w:val="28"/>
          <w:szCs w:val="28"/>
          <w:bdr w:val="none" w:sz="0" w:space="0" w:color="auto" w:frame="1"/>
        </w:rPr>
        <w:t>M. Matthis Thibault-Gobeil</w:t>
      </w:r>
      <w:r w:rsidR="00405DAD">
        <w:rPr>
          <w:color w:val="242424"/>
          <w:sz w:val="28"/>
          <w:szCs w:val="28"/>
          <w:bdr w:val="none" w:sz="0" w:space="0" w:color="auto" w:frame="1"/>
        </w:rPr>
        <w:t>,</w:t>
      </w:r>
      <w:r w:rsidRPr="002A1B86">
        <w:rPr>
          <w:color w:val="242424"/>
          <w:sz w:val="28"/>
          <w:szCs w:val="28"/>
          <w:bdr w:val="none" w:sz="0" w:space="0" w:color="auto" w:frame="1"/>
        </w:rPr>
        <w:t xml:space="preserve"> MRNF</w:t>
      </w:r>
    </w:p>
    <w:p w14:paraId="4A3CBDB0" w14:textId="77777777" w:rsidR="00480F36" w:rsidRPr="002A1B86" w:rsidRDefault="00480F36" w:rsidP="00480F36">
      <w:pPr>
        <w:rPr>
          <w:color w:val="242424"/>
          <w:sz w:val="28"/>
          <w:szCs w:val="28"/>
          <w:bdr w:val="none" w:sz="0" w:space="0" w:color="auto" w:frame="1"/>
        </w:rPr>
      </w:pPr>
    </w:p>
    <w:p w14:paraId="1745F523" w14:textId="77777777" w:rsidR="00480F36" w:rsidRPr="002A1B86" w:rsidRDefault="00480F36" w:rsidP="00480F36">
      <w:pPr>
        <w:rPr>
          <w:color w:val="242424"/>
          <w:sz w:val="28"/>
          <w:szCs w:val="28"/>
          <w:bdr w:val="none" w:sz="0" w:space="0" w:color="auto" w:frame="1"/>
        </w:rPr>
      </w:pPr>
    </w:p>
    <w:p w14:paraId="71D9FE47" w14:textId="2BE4385B" w:rsidR="00480F36" w:rsidRPr="002A1B86" w:rsidRDefault="00480F36" w:rsidP="00480F36">
      <w:pPr>
        <w:jc w:val="right"/>
        <w:rPr>
          <w:color w:val="242424"/>
          <w:sz w:val="28"/>
          <w:szCs w:val="28"/>
          <w:bdr w:val="none" w:sz="0" w:space="0" w:color="auto" w:frame="1"/>
        </w:rPr>
      </w:pPr>
      <w:r w:rsidRPr="002A1B86">
        <w:rPr>
          <w:color w:val="242424"/>
          <w:sz w:val="28"/>
          <w:szCs w:val="28"/>
          <w:bdr w:val="none" w:sz="0" w:space="0" w:color="auto" w:frame="1"/>
        </w:rPr>
        <w:t xml:space="preserve">Lac-Mégantic le </w:t>
      </w:r>
      <w:r w:rsidR="004D4203" w:rsidRPr="002A1B86">
        <w:rPr>
          <w:color w:val="242424"/>
          <w:sz w:val="28"/>
          <w:szCs w:val="28"/>
          <w:bdr w:val="none" w:sz="0" w:space="0" w:color="auto" w:frame="1"/>
        </w:rPr>
        <w:t>2</w:t>
      </w:r>
      <w:r w:rsidR="00405DAD">
        <w:rPr>
          <w:color w:val="242424"/>
          <w:sz w:val="28"/>
          <w:szCs w:val="28"/>
          <w:bdr w:val="none" w:sz="0" w:space="0" w:color="auto" w:frame="1"/>
        </w:rPr>
        <w:t>3</w:t>
      </w:r>
      <w:r w:rsidRPr="002A1B86">
        <w:rPr>
          <w:color w:val="242424"/>
          <w:sz w:val="28"/>
          <w:szCs w:val="28"/>
          <w:bdr w:val="none" w:sz="0" w:space="0" w:color="auto" w:frame="1"/>
        </w:rPr>
        <w:t xml:space="preserve"> août 2023</w:t>
      </w:r>
    </w:p>
    <w:p w14:paraId="52FCDD55" w14:textId="77777777" w:rsidR="00480F36" w:rsidRPr="002A1B86" w:rsidRDefault="00480F36" w:rsidP="00480F36">
      <w:pPr>
        <w:rPr>
          <w:color w:val="242424"/>
          <w:sz w:val="28"/>
          <w:szCs w:val="28"/>
          <w:bdr w:val="none" w:sz="0" w:space="0" w:color="auto" w:frame="1"/>
        </w:rPr>
      </w:pPr>
    </w:p>
    <w:p w14:paraId="07F16619" w14:textId="44AE45C0" w:rsidR="00480F36" w:rsidRPr="002A1B86" w:rsidRDefault="00480F36" w:rsidP="00480F36">
      <w:pPr>
        <w:rPr>
          <w:b/>
          <w:bCs/>
          <w:color w:val="242424"/>
          <w:sz w:val="28"/>
          <w:szCs w:val="28"/>
          <w:bdr w:val="none" w:sz="0" w:space="0" w:color="auto" w:frame="1"/>
        </w:rPr>
      </w:pPr>
      <w:r w:rsidRPr="002A1B86">
        <w:rPr>
          <w:b/>
          <w:bCs/>
          <w:color w:val="242424"/>
          <w:sz w:val="28"/>
          <w:szCs w:val="28"/>
          <w:bdr w:val="none" w:sz="0" w:space="0" w:color="auto" w:frame="1"/>
        </w:rPr>
        <w:t xml:space="preserve">Objet : </w:t>
      </w:r>
      <w:r w:rsidR="00D06E8C" w:rsidRPr="002A1B86">
        <w:rPr>
          <w:b/>
          <w:bCs/>
          <w:color w:val="242424"/>
          <w:sz w:val="28"/>
          <w:szCs w:val="28"/>
          <w:bdr w:val="none" w:sz="0" w:space="0" w:color="auto" w:frame="1"/>
        </w:rPr>
        <w:t>P</w:t>
      </w:r>
      <w:r w:rsidRPr="002A1B86">
        <w:rPr>
          <w:b/>
          <w:bCs/>
          <w:color w:val="242424"/>
          <w:sz w:val="28"/>
          <w:szCs w:val="28"/>
          <w:bdr w:val="none" w:sz="0" w:space="0" w:color="auto" w:frame="1"/>
        </w:rPr>
        <w:t>réoccupations</w:t>
      </w:r>
      <w:r w:rsidR="00D06E8C" w:rsidRPr="002A1B86">
        <w:rPr>
          <w:b/>
          <w:bCs/>
          <w:color w:val="242424"/>
          <w:sz w:val="28"/>
          <w:szCs w:val="28"/>
          <w:bdr w:val="none" w:sz="0" w:space="0" w:color="auto" w:frame="1"/>
        </w:rPr>
        <w:t xml:space="preserve"> et Enjeux</w:t>
      </w:r>
      <w:r w:rsidRPr="002A1B86">
        <w:rPr>
          <w:b/>
          <w:bCs/>
          <w:color w:val="242424"/>
          <w:sz w:val="28"/>
          <w:szCs w:val="28"/>
          <w:bdr w:val="none" w:sz="0" w:space="0" w:color="auto" w:frame="1"/>
        </w:rPr>
        <w:t xml:space="preserve"> de L’Association Louise-Gosford à propos du dossier du potentiel acéricole résiduel en Estrie</w:t>
      </w:r>
    </w:p>
    <w:p w14:paraId="7AF4614E" w14:textId="77777777" w:rsidR="00480F36" w:rsidRPr="002A1B86" w:rsidRDefault="00480F36" w:rsidP="00480F36">
      <w:pPr>
        <w:rPr>
          <w:color w:val="242424"/>
          <w:sz w:val="28"/>
          <w:szCs w:val="28"/>
          <w:bdr w:val="none" w:sz="0" w:space="0" w:color="auto" w:frame="1"/>
        </w:rPr>
      </w:pPr>
    </w:p>
    <w:p w14:paraId="0C45E719" w14:textId="010CACDC" w:rsidR="00480F36" w:rsidRPr="002A1B86" w:rsidRDefault="00480F36" w:rsidP="00480F36">
      <w:pPr>
        <w:rPr>
          <w:color w:val="242424"/>
          <w:sz w:val="28"/>
          <w:szCs w:val="28"/>
          <w:bdr w:val="none" w:sz="0" w:space="0" w:color="auto" w:frame="1"/>
        </w:rPr>
      </w:pPr>
      <w:r w:rsidRPr="002A1B86">
        <w:rPr>
          <w:color w:val="242424"/>
          <w:sz w:val="28"/>
          <w:szCs w:val="28"/>
          <w:bdr w:val="none" w:sz="0" w:space="0" w:color="auto" w:frame="1"/>
        </w:rPr>
        <w:t>M. Jaccard</w:t>
      </w:r>
    </w:p>
    <w:p w14:paraId="4551B6BA" w14:textId="72329920" w:rsidR="00480F36" w:rsidRPr="002A1B86" w:rsidRDefault="00480F36" w:rsidP="00480F36">
      <w:pPr>
        <w:rPr>
          <w:color w:val="242424"/>
          <w:sz w:val="28"/>
          <w:szCs w:val="28"/>
          <w:bdr w:val="none" w:sz="0" w:space="0" w:color="auto" w:frame="1"/>
        </w:rPr>
      </w:pPr>
      <w:r w:rsidRPr="002A1B86">
        <w:rPr>
          <w:color w:val="242424"/>
          <w:sz w:val="28"/>
          <w:szCs w:val="28"/>
          <w:bdr w:val="none" w:sz="0" w:space="0" w:color="auto" w:frame="1"/>
        </w:rPr>
        <w:t>M. Provost</w:t>
      </w:r>
    </w:p>
    <w:p w14:paraId="17CEFBD5" w14:textId="58AB5BEB" w:rsidR="00991372" w:rsidRPr="002A1B86" w:rsidRDefault="00991372" w:rsidP="00480F36">
      <w:pPr>
        <w:rPr>
          <w:color w:val="242424"/>
          <w:sz w:val="28"/>
          <w:szCs w:val="28"/>
          <w:bdr w:val="none" w:sz="0" w:space="0" w:color="auto" w:frame="1"/>
        </w:rPr>
      </w:pPr>
      <w:r w:rsidRPr="002A1B86">
        <w:rPr>
          <w:color w:val="242424"/>
          <w:sz w:val="28"/>
          <w:szCs w:val="28"/>
          <w:bdr w:val="none" w:sz="0" w:space="0" w:color="auto" w:frame="1"/>
        </w:rPr>
        <w:t>M. Thibault-Gobeil</w:t>
      </w:r>
    </w:p>
    <w:p w14:paraId="23E29208" w14:textId="77777777" w:rsidR="00480F36" w:rsidRPr="002A1B86" w:rsidRDefault="00480F36" w:rsidP="00480F36">
      <w:pPr>
        <w:rPr>
          <w:color w:val="242424"/>
          <w:sz w:val="28"/>
          <w:szCs w:val="28"/>
          <w:bdr w:val="none" w:sz="0" w:space="0" w:color="auto" w:frame="1"/>
        </w:rPr>
      </w:pPr>
    </w:p>
    <w:p w14:paraId="66642D1A" w14:textId="6D52D8B7" w:rsidR="00480F36" w:rsidRPr="002A1B86" w:rsidRDefault="00480F36" w:rsidP="00480F36">
      <w:pPr>
        <w:rPr>
          <w:color w:val="373737"/>
          <w:sz w:val="28"/>
          <w:szCs w:val="28"/>
          <w:shd w:val="clear" w:color="auto" w:fill="FFFFFF"/>
        </w:rPr>
      </w:pPr>
      <w:r w:rsidRPr="002A1B86">
        <w:rPr>
          <w:sz w:val="28"/>
          <w:szCs w:val="28"/>
        </w:rPr>
        <w:t>En mai 2023</w:t>
      </w:r>
      <w:r w:rsidR="00405DAD">
        <w:rPr>
          <w:sz w:val="28"/>
          <w:szCs w:val="28"/>
        </w:rPr>
        <w:t>,</w:t>
      </w:r>
      <w:r w:rsidRPr="002A1B86">
        <w:rPr>
          <w:sz w:val="28"/>
          <w:szCs w:val="28"/>
        </w:rPr>
        <w:t xml:space="preserve"> </w:t>
      </w:r>
      <w:r w:rsidRPr="002A1B86">
        <w:rPr>
          <w:color w:val="373737"/>
          <w:sz w:val="28"/>
          <w:szCs w:val="28"/>
          <w:shd w:val="clear" w:color="auto" w:fill="FFFFFF"/>
        </w:rPr>
        <w:t xml:space="preserve">les Producteurs et Productrices acéricoles du Québec (PPAQ) annoncent l'émission de 7 millions d'entailles. Dans son plan directeur sur le dossier acéricole le MRNF s’ouvre sur la hausse des entailles en forêt publique.  </w:t>
      </w:r>
    </w:p>
    <w:p w14:paraId="2C233163" w14:textId="77777777" w:rsidR="00480F36" w:rsidRPr="002A1B86" w:rsidRDefault="00480F36" w:rsidP="00480F36">
      <w:pPr>
        <w:rPr>
          <w:color w:val="242424"/>
          <w:sz w:val="28"/>
          <w:szCs w:val="28"/>
          <w:bdr w:val="none" w:sz="0" w:space="0" w:color="auto" w:frame="1"/>
        </w:rPr>
      </w:pPr>
    </w:p>
    <w:p w14:paraId="61146499" w14:textId="00F0F60B" w:rsidR="00480F36" w:rsidRPr="002A1B86" w:rsidRDefault="00480F36" w:rsidP="00480F36">
      <w:pPr>
        <w:rPr>
          <w:color w:val="242424"/>
          <w:sz w:val="28"/>
          <w:szCs w:val="28"/>
          <w:bdr w:val="none" w:sz="0" w:space="0" w:color="auto" w:frame="1"/>
        </w:rPr>
      </w:pPr>
      <w:r w:rsidRPr="002A1B86">
        <w:rPr>
          <w:color w:val="242424"/>
          <w:sz w:val="28"/>
          <w:szCs w:val="28"/>
          <w:bdr w:val="none" w:sz="0" w:space="0" w:color="auto" w:frame="1"/>
        </w:rPr>
        <w:t>À propos de la démarche en cours concernant le potentiel acéricole résiduel en Estrie, L’Association Louise-Gosford tient d’abord à préciser son Mandat : conservation et mise en valeur de la faune et développement des activités récréotouristiques sur le territoire public structuré de la Zec Louise-Gosford.</w:t>
      </w:r>
    </w:p>
    <w:p w14:paraId="4CC132FA" w14:textId="77777777" w:rsidR="0021346B" w:rsidRPr="002A1B86" w:rsidRDefault="0021346B" w:rsidP="00480F36">
      <w:pPr>
        <w:rPr>
          <w:color w:val="242424"/>
          <w:sz w:val="28"/>
          <w:szCs w:val="28"/>
          <w:bdr w:val="none" w:sz="0" w:space="0" w:color="auto" w:frame="1"/>
        </w:rPr>
      </w:pPr>
    </w:p>
    <w:p w14:paraId="285D51C4" w14:textId="6B5FC065" w:rsidR="0021346B" w:rsidRPr="002A1B86" w:rsidRDefault="0021346B" w:rsidP="00480F36">
      <w:pPr>
        <w:rPr>
          <w:color w:val="242424"/>
          <w:sz w:val="28"/>
          <w:szCs w:val="28"/>
          <w:bdr w:val="none" w:sz="0" w:space="0" w:color="auto" w:frame="1"/>
        </w:rPr>
      </w:pPr>
      <w:r w:rsidRPr="002A1B86">
        <w:rPr>
          <w:color w:val="242424"/>
          <w:sz w:val="28"/>
          <w:szCs w:val="28"/>
          <w:bdr w:val="none" w:sz="0" w:space="0" w:color="auto" w:frame="1"/>
        </w:rPr>
        <w:t xml:space="preserve">L’Association Louise-Gosford va s’appuyer sur les documents suivants afin de préciser ses préoccupations et les </w:t>
      </w:r>
      <w:r w:rsidR="004D4203" w:rsidRPr="002A1B86">
        <w:rPr>
          <w:color w:val="242424"/>
          <w:sz w:val="28"/>
          <w:szCs w:val="28"/>
          <w:bdr w:val="none" w:sz="0" w:space="0" w:color="auto" w:frame="1"/>
        </w:rPr>
        <w:t>enjeux à</w:t>
      </w:r>
      <w:r w:rsidRPr="002A1B86">
        <w:rPr>
          <w:color w:val="242424"/>
          <w:sz w:val="28"/>
          <w:szCs w:val="28"/>
          <w:bdr w:val="none" w:sz="0" w:space="0" w:color="auto" w:frame="1"/>
        </w:rPr>
        <w:t xml:space="preserve"> propos du dossier du potentiel </w:t>
      </w:r>
      <w:r w:rsidRPr="002A1B86">
        <w:rPr>
          <w:color w:val="242424"/>
          <w:sz w:val="28"/>
          <w:szCs w:val="28"/>
          <w:bdr w:val="none" w:sz="0" w:space="0" w:color="auto" w:frame="1"/>
        </w:rPr>
        <w:lastRenderedPageBreak/>
        <w:t xml:space="preserve">acéricole résiduel en Estrie : </w:t>
      </w:r>
      <w:r w:rsidR="004D4203" w:rsidRPr="002A1B86">
        <w:rPr>
          <w:color w:val="242424"/>
          <w:sz w:val="28"/>
          <w:szCs w:val="28"/>
          <w:bdr w:val="none" w:sz="0" w:space="0" w:color="auto" w:frame="1"/>
        </w:rPr>
        <w:t>P</w:t>
      </w:r>
      <w:r w:rsidR="004327A1" w:rsidRPr="002A1B86">
        <w:rPr>
          <w:color w:val="242424"/>
          <w:sz w:val="28"/>
          <w:szCs w:val="28"/>
          <w:bdr w:val="none" w:sz="0" w:space="0" w:color="auto" w:frame="1"/>
        </w:rPr>
        <w:t xml:space="preserve">lan de mise en valeur du territoire public 2022-2026, </w:t>
      </w:r>
      <w:r w:rsidR="004D4203" w:rsidRPr="002A1B86">
        <w:rPr>
          <w:color w:val="242424"/>
          <w:sz w:val="28"/>
          <w:szCs w:val="28"/>
          <w:bdr w:val="none" w:sz="0" w:space="0" w:color="auto" w:frame="1"/>
        </w:rPr>
        <w:t>P</w:t>
      </w:r>
      <w:r w:rsidR="004327A1" w:rsidRPr="002A1B86">
        <w:rPr>
          <w:color w:val="242424"/>
          <w:sz w:val="28"/>
          <w:szCs w:val="28"/>
          <w:bdr w:val="none" w:sz="0" w:space="0" w:color="auto" w:frame="1"/>
        </w:rPr>
        <w:t>lan d’affectation du territoire public – une vision globale des terres et des ressources, la Loi sur les terres du domaine de l’État</w:t>
      </w:r>
      <w:r w:rsidR="004D4203" w:rsidRPr="002A1B86">
        <w:rPr>
          <w:color w:val="242424"/>
          <w:sz w:val="28"/>
          <w:szCs w:val="28"/>
          <w:bdr w:val="none" w:sz="0" w:space="0" w:color="auto" w:frame="1"/>
        </w:rPr>
        <w:t xml:space="preserve"> et </w:t>
      </w:r>
      <w:r w:rsidR="002A1B86">
        <w:rPr>
          <w:color w:val="242424"/>
          <w:sz w:val="28"/>
          <w:szCs w:val="28"/>
          <w:bdr w:val="none" w:sz="0" w:space="0" w:color="auto" w:frame="1"/>
        </w:rPr>
        <w:t>l</w:t>
      </w:r>
      <w:r w:rsidR="004D4203" w:rsidRPr="002A1B86">
        <w:rPr>
          <w:color w:val="242424"/>
          <w:sz w:val="28"/>
          <w:szCs w:val="28"/>
          <w:bdr w:val="none" w:sz="0" w:space="0" w:color="auto" w:frame="1"/>
        </w:rPr>
        <w:t>es enjeux du développement acéricole sur les territoires des ZECS.</w:t>
      </w:r>
      <w:r w:rsidRPr="002A1B86">
        <w:rPr>
          <w:color w:val="242424"/>
          <w:sz w:val="28"/>
          <w:szCs w:val="28"/>
          <w:bdr w:val="none" w:sz="0" w:space="0" w:color="auto" w:frame="1"/>
        </w:rPr>
        <w:t xml:space="preserve"> </w:t>
      </w:r>
    </w:p>
    <w:p w14:paraId="2DE33BCF" w14:textId="77777777" w:rsidR="00D70502" w:rsidRPr="002A1B86" w:rsidRDefault="00D70502" w:rsidP="00480F36">
      <w:pPr>
        <w:rPr>
          <w:color w:val="242424"/>
          <w:sz w:val="28"/>
          <w:szCs w:val="28"/>
          <w:bdr w:val="none" w:sz="0" w:space="0" w:color="auto" w:frame="1"/>
        </w:rPr>
      </w:pPr>
    </w:p>
    <w:p w14:paraId="4B80EDC5" w14:textId="6F9D1BA2" w:rsidR="00D70502" w:rsidRPr="002A1B86" w:rsidRDefault="00D06E8C" w:rsidP="00480F36">
      <w:pPr>
        <w:rPr>
          <w:b/>
          <w:bCs/>
          <w:color w:val="242424"/>
          <w:sz w:val="28"/>
          <w:szCs w:val="28"/>
          <w:bdr w:val="none" w:sz="0" w:space="0" w:color="auto" w:frame="1"/>
        </w:rPr>
      </w:pPr>
      <w:r w:rsidRPr="002A1B86">
        <w:rPr>
          <w:b/>
          <w:bCs/>
          <w:color w:val="242424"/>
          <w:sz w:val="28"/>
          <w:szCs w:val="28"/>
          <w:bdr w:val="none" w:sz="0" w:space="0" w:color="auto" w:frame="1"/>
        </w:rPr>
        <w:t>Le</w:t>
      </w:r>
      <w:r w:rsidR="00D70502" w:rsidRPr="002A1B86">
        <w:rPr>
          <w:b/>
          <w:bCs/>
          <w:color w:val="242424"/>
          <w:sz w:val="28"/>
          <w:szCs w:val="28"/>
          <w:bdr w:val="none" w:sz="0" w:space="0" w:color="auto" w:frame="1"/>
        </w:rPr>
        <w:t>s préoccupations </w:t>
      </w:r>
      <w:r w:rsidRPr="002A1B86">
        <w:rPr>
          <w:b/>
          <w:bCs/>
          <w:color w:val="242424"/>
          <w:sz w:val="28"/>
          <w:szCs w:val="28"/>
          <w:bdr w:val="none" w:sz="0" w:space="0" w:color="auto" w:frame="1"/>
        </w:rPr>
        <w:t>de L’Association Louise-Gosford</w:t>
      </w:r>
      <w:r w:rsidR="00D70502" w:rsidRPr="002A1B86">
        <w:rPr>
          <w:b/>
          <w:bCs/>
          <w:color w:val="242424"/>
          <w:sz w:val="28"/>
          <w:szCs w:val="28"/>
          <w:bdr w:val="none" w:sz="0" w:space="0" w:color="auto" w:frame="1"/>
        </w:rPr>
        <w:t>:</w:t>
      </w:r>
    </w:p>
    <w:p w14:paraId="376EDF90" w14:textId="77777777" w:rsidR="00D70502" w:rsidRPr="002A1B86" w:rsidRDefault="00D70502" w:rsidP="00480F36">
      <w:pPr>
        <w:rPr>
          <w:color w:val="242424"/>
          <w:sz w:val="28"/>
          <w:szCs w:val="28"/>
          <w:bdr w:val="none" w:sz="0" w:space="0" w:color="auto" w:frame="1"/>
        </w:rPr>
      </w:pPr>
    </w:p>
    <w:p w14:paraId="7CFB2891" w14:textId="2AC81DA1" w:rsidR="00F92446" w:rsidRPr="002A1B86" w:rsidRDefault="00D70502" w:rsidP="00480F36">
      <w:pPr>
        <w:rPr>
          <w:color w:val="242424"/>
          <w:sz w:val="28"/>
          <w:szCs w:val="28"/>
          <w:bdr w:val="none" w:sz="0" w:space="0" w:color="auto" w:frame="1"/>
        </w:rPr>
      </w:pPr>
      <w:r w:rsidRPr="002A1B86">
        <w:rPr>
          <w:b/>
          <w:bCs/>
          <w:color w:val="242424"/>
          <w:sz w:val="28"/>
          <w:szCs w:val="28"/>
          <w:bdr w:val="none" w:sz="0" w:space="0" w:color="auto" w:frame="1"/>
        </w:rPr>
        <w:t>P</w:t>
      </w:r>
      <w:r w:rsidR="00F92446" w:rsidRPr="002A1B86">
        <w:rPr>
          <w:b/>
          <w:bCs/>
          <w:color w:val="242424"/>
          <w:sz w:val="28"/>
          <w:szCs w:val="28"/>
          <w:bdr w:val="none" w:sz="0" w:space="0" w:color="auto" w:frame="1"/>
        </w:rPr>
        <w:t xml:space="preserve"> </w:t>
      </w:r>
      <w:r w:rsidRPr="002A1B86">
        <w:rPr>
          <w:b/>
          <w:bCs/>
          <w:color w:val="242424"/>
          <w:sz w:val="28"/>
          <w:szCs w:val="28"/>
          <w:bdr w:val="none" w:sz="0" w:space="0" w:color="auto" w:frame="1"/>
        </w:rPr>
        <w:t>1.</w:t>
      </w:r>
      <w:r w:rsidRPr="002A1B86">
        <w:rPr>
          <w:color w:val="242424"/>
          <w:sz w:val="28"/>
          <w:szCs w:val="28"/>
          <w:bdr w:val="none" w:sz="0" w:space="0" w:color="auto" w:frame="1"/>
        </w:rPr>
        <w:t xml:space="preserve"> </w:t>
      </w:r>
      <w:r w:rsidR="00F92446" w:rsidRPr="002A1B86">
        <w:rPr>
          <w:color w:val="242424"/>
          <w:sz w:val="28"/>
          <w:szCs w:val="28"/>
          <w:bdr w:val="none" w:sz="0" w:space="0" w:color="auto" w:frame="1"/>
        </w:rPr>
        <w:t>Dans le secteur Louise – impacts sur le ravage du cerf de Virginie, à propos d’octroi d’agrandissement ou de démarrage d’érablières.</w:t>
      </w:r>
    </w:p>
    <w:p w14:paraId="03F1A5C3" w14:textId="77777777" w:rsidR="00F92446" w:rsidRPr="002A1B86" w:rsidRDefault="00F92446" w:rsidP="00480F36">
      <w:pPr>
        <w:rPr>
          <w:color w:val="242424"/>
          <w:sz w:val="28"/>
          <w:szCs w:val="28"/>
          <w:bdr w:val="none" w:sz="0" w:space="0" w:color="auto" w:frame="1"/>
        </w:rPr>
      </w:pPr>
    </w:p>
    <w:p w14:paraId="044665C5" w14:textId="20AC9BF6" w:rsidR="00F92446" w:rsidRPr="002A1B86" w:rsidRDefault="00F92446" w:rsidP="00F92446">
      <w:pPr>
        <w:rPr>
          <w:color w:val="242424"/>
          <w:sz w:val="28"/>
          <w:szCs w:val="28"/>
          <w:bdr w:val="none" w:sz="0" w:space="0" w:color="auto" w:frame="1"/>
        </w:rPr>
      </w:pPr>
      <w:r w:rsidRPr="002A1B86">
        <w:rPr>
          <w:b/>
          <w:bCs/>
          <w:color w:val="242424"/>
          <w:sz w:val="28"/>
          <w:szCs w:val="28"/>
          <w:bdr w:val="none" w:sz="0" w:space="0" w:color="auto" w:frame="1"/>
        </w:rPr>
        <w:t>P 2.</w:t>
      </w:r>
      <w:r w:rsidRPr="002A1B86">
        <w:rPr>
          <w:color w:val="242424"/>
          <w:sz w:val="28"/>
          <w:szCs w:val="28"/>
          <w:bdr w:val="none" w:sz="0" w:space="0" w:color="auto" w:frame="1"/>
        </w:rPr>
        <w:t xml:space="preserve"> Dans le secteur Gosford</w:t>
      </w:r>
      <w:r w:rsidR="00405DAD">
        <w:rPr>
          <w:color w:val="242424"/>
          <w:sz w:val="28"/>
          <w:szCs w:val="28"/>
          <w:bdr w:val="none" w:sz="0" w:space="0" w:color="auto" w:frame="1"/>
        </w:rPr>
        <w:t xml:space="preserve"> -</w:t>
      </w:r>
      <w:r w:rsidRPr="002A1B86">
        <w:rPr>
          <w:color w:val="242424"/>
          <w:sz w:val="28"/>
          <w:szCs w:val="28"/>
          <w:bdr w:val="none" w:sz="0" w:space="0" w:color="auto" w:frame="1"/>
        </w:rPr>
        <w:t xml:space="preserve"> impacts sur la grande faune (orignal VS densité et qualité de l’expérience de l’activité chasse), à propos d’octroi d’agrandissement ou de démarrage d’érablières.</w:t>
      </w:r>
    </w:p>
    <w:p w14:paraId="03CCCB69" w14:textId="77777777" w:rsidR="00F92446" w:rsidRPr="002A1B86" w:rsidRDefault="00F92446" w:rsidP="00F92446">
      <w:pPr>
        <w:rPr>
          <w:color w:val="242424"/>
          <w:sz w:val="28"/>
          <w:szCs w:val="28"/>
          <w:bdr w:val="none" w:sz="0" w:space="0" w:color="auto" w:frame="1"/>
        </w:rPr>
      </w:pPr>
    </w:p>
    <w:p w14:paraId="6C094369" w14:textId="77777777" w:rsidR="007C7803" w:rsidRPr="002A1B86" w:rsidRDefault="00F92446" w:rsidP="007C7803">
      <w:pPr>
        <w:rPr>
          <w:color w:val="000000" w:themeColor="text1"/>
          <w:sz w:val="28"/>
          <w:szCs w:val="28"/>
        </w:rPr>
      </w:pPr>
      <w:r w:rsidRPr="002A1B86">
        <w:rPr>
          <w:b/>
          <w:bCs/>
          <w:color w:val="242424"/>
          <w:sz w:val="28"/>
          <w:szCs w:val="28"/>
          <w:bdr w:val="none" w:sz="0" w:space="0" w:color="auto" w:frame="1"/>
        </w:rPr>
        <w:t>P 3.</w:t>
      </w:r>
      <w:r w:rsidRPr="002A1B86">
        <w:rPr>
          <w:color w:val="242424"/>
          <w:sz w:val="28"/>
          <w:szCs w:val="28"/>
          <w:bdr w:val="none" w:sz="0" w:space="0" w:color="auto" w:frame="1"/>
        </w:rPr>
        <w:t xml:space="preserve"> </w:t>
      </w:r>
      <w:r w:rsidR="007C7803" w:rsidRPr="002A1B86">
        <w:rPr>
          <w:color w:val="000000" w:themeColor="text1"/>
          <w:sz w:val="28"/>
          <w:szCs w:val="28"/>
        </w:rPr>
        <w:t>Impacts sur la biodiversité (</w:t>
      </w:r>
      <w:r w:rsidR="007C7803" w:rsidRPr="002A1B86">
        <w:rPr>
          <w:color w:val="111111"/>
          <w:sz w:val="28"/>
          <w:szCs w:val="28"/>
          <w:shd w:val="clear" w:color="auto" w:fill="FFFFFF"/>
        </w:rPr>
        <w:t>Caractère divers des espèces animales et végétales)</w:t>
      </w:r>
      <w:r w:rsidR="007C7803" w:rsidRPr="002A1B86">
        <w:rPr>
          <w:color w:val="000000" w:themeColor="text1"/>
          <w:sz w:val="28"/>
          <w:szCs w:val="28"/>
        </w:rPr>
        <w:t xml:space="preserve"> des deux secteurs de la Zec Louise-Gosford.</w:t>
      </w:r>
    </w:p>
    <w:p w14:paraId="26CFCF9F" w14:textId="77777777" w:rsidR="007C7803" w:rsidRPr="002A1B86" w:rsidRDefault="007C7803" w:rsidP="007C7803">
      <w:pPr>
        <w:rPr>
          <w:color w:val="000000" w:themeColor="text1"/>
          <w:sz w:val="28"/>
          <w:szCs w:val="28"/>
        </w:rPr>
      </w:pPr>
    </w:p>
    <w:p w14:paraId="3B4FF197" w14:textId="551DF1A8" w:rsidR="007C7803" w:rsidRPr="002A1B86" w:rsidRDefault="007C7803" w:rsidP="007C7803">
      <w:pPr>
        <w:rPr>
          <w:color w:val="000000" w:themeColor="text1"/>
          <w:sz w:val="28"/>
          <w:szCs w:val="28"/>
        </w:rPr>
      </w:pPr>
      <w:r w:rsidRPr="002A1B86">
        <w:rPr>
          <w:b/>
          <w:bCs/>
          <w:color w:val="000000" w:themeColor="text1"/>
          <w:sz w:val="28"/>
          <w:szCs w:val="28"/>
        </w:rPr>
        <w:t>P</w:t>
      </w:r>
      <w:r w:rsidR="005F3EE8" w:rsidRPr="002A1B86">
        <w:rPr>
          <w:b/>
          <w:bCs/>
          <w:color w:val="000000" w:themeColor="text1"/>
          <w:sz w:val="28"/>
          <w:szCs w:val="28"/>
        </w:rPr>
        <w:t xml:space="preserve"> </w:t>
      </w:r>
      <w:r w:rsidRPr="002A1B86">
        <w:rPr>
          <w:b/>
          <w:bCs/>
          <w:color w:val="000000" w:themeColor="text1"/>
          <w:sz w:val="28"/>
          <w:szCs w:val="28"/>
        </w:rPr>
        <w:t>4</w:t>
      </w:r>
      <w:r w:rsidR="005F3EE8" w:rsidRPr="002A1B86">
        <w:rPr>
          <w:b/>
          <w:bCs/>
          <w:color w:val="000000" w:themeColor="text1"/>
          <w:sz w:val="28"/>
          <w:szCs w:val="28"/>
        </w:rPr>
        <w:t>.</w:t>
      </w:r>
      <w:r w:rsidRPr="002A1B86">
        <w:rPr>
          <w:b/>
          <w:bCs/>
          <w:color w:val="000000" w:themeColor="text1"/>
          <w:sz w:val="28"/>
          <w:szCs w:val="28"/>
        </w:rPr>
        <w:t xml:space="preserve"> Le</w:t>
      </w:r>
      <w:r w:rsidRPr="002A1B86">
        <w:rPr>
          <w:color w:val="000000" w:themeColor="text1"/>
          <w:sz w:val="28"/>
          <w:szCs w:val="28"/>
        </w:rPr>
        <w:t xml:space="preserve"> processus de cohabitation deviendra un élément de gestion pour notre organisation avec la diminution d</w:t>
      </w:r>
      <w:r w:rsidR="008E56C1" w:rsidRPr="002A1B86">
        <w:rPr>
          <w:color w:val="000000" w:themeColor="text1"/>
          <w:sz w:val="28"/>
          <w:szCs w:val="28"/>
        </w:rPr>
        <w:t>u nombre</w:t>
      </w:r>
      <w:r w:rsidRPr="002A1B86">
        <w:rPr>
          <w:color w:val="000000" w:themeColor="text1"/>
          <w:sz w:val="28"/>
          <w:szCs w:val="28"/>
        </w:rPr>
        <w:t xml:space="preserve"> </w:t>
      </w:r>
      <w:r w:rsidR="00261B7E">
        <w:rPr>
          <w:color w:val="000000" w:themeColor="text1"/>
          <w:sz w:val="28"/>
          <w:szCs w:val="28"/>
        </w:rPr>
        <w:t>d’</w:t>
      </w:r>
      <w:r w:rsidRPr="002A1B86">
        <w:rPr>
          <w:color w:val="000000" w:themeColor="text1"/>
          <w:sz w:val="28"/>
          <w:szCs w:val="28"/>
        </w:rPr>
        <w:t>hectare</w:t>
      </w:r>
      <w:r w:rsidR="00261B7E">
        <w:rPr>
          <w:color w:val="000000" w:themeColor="text1"/>
          <w:sz w:val="28"/>
          <w:szCs w:val="28"/>
        </w:rPr>
        <w:t>s</w:t>
      </w:r>
      <w:r w:rsidRPr="002A1B86">
        <w:rPr>
          <w:color w:val="000000" w:themeColor="text1"/>
          <w:sz w:val="28"/>
          <w:szCs w:val="28"/>
        </w:rPr>
        <w:t xml:space="preserve"> pour l</w:t>
      </w:r>
      <w:r w:rsidR="00D06E8C" w:rsidRPr="002A1B86">
        <w:rPr>
          <w:color w:val="000000" w:themeColor="text1"/>
          <w:sz w:val="28"/>
          <w:szCs w:val="28"/>
        </w:rPr>
        <w:t xml:space="preserve">es </w:t>
      </w:r>
      <w:r w:rsidRPr="002A1B86">
        <w:rPr>
          <w:color w:val="000000" w:themeColor="text1"/>
          <w:sz w:val="28"/>
          <w:szCs w:val="28"/>
        </w:rPr>
        <w:t>activité</w:t>
      </w:r>
      <w:r w:rsidR="00D06E8C" w:rsidRPr="002A1B86">
        <w:rPr>
          <w:color w:val="000000" w:themeColor="text1"/>
          <w:sz w:val="28"/>
          <w:szCs w:val="28"/>
        </w:rPr>
        <w:t>s de plein air (</w:t>
      </w:r>
      <w:r w:rsidRPr="002A1B86">
        <w:rPr>
          <w:color w:val="000000" w:themeColor="text1"/>
          <w:sz w:val="28"/>
          <w:szCs w:val="28"/>
        </w:rPr>
        <w:t>chasse</w:t>
      </w:r>
      <w:r w:rsidR="00D06E8C" w:rsidRPr="002A1B86">
        <w:rPr>
          <w:color w:val="000000" w:themeColor="text1"/>
          <w:sz w:val="28"/>
          <w:szCs w:val="28"/>
        </w:rPr>
        <w:t>, camping, randonnées pédestres)</w:t>
      </w:r>
      <w:r w:rsidRPr="002A1B86">
        <w:rPr>
          <w:color w:val="000000" w:themeColor="text1"/>
          <w:sz w:val="28"/>
          <w:szCs w:val="28"/>
        </w:rPr>
        <w:t>.</w:t>
      </w:r>
    </w:p>
    <w:p w14:paraId="7AF3AF84" w14:textId="77777777" w:rsidR="005F3EE8" w:rsidRPr="002A1B86" w:rsidRDefault="005F3EE8" w:rsidP="007C7803">
      <w:pPr>
        <w:rPr>
          <w:color w:val="000000" w:themeColor="text1"/>
          <w:sz w:val="28"/>
          <w:szCs w:val="28"/>
        </w:rPr>
      </w:pPr>
    </w:p>
    <w:p w14:paraId="555E28D9" w14:textId="322641D3" w:rsidR="005F3EE8" w:rsidRPr="002A1B86" w:rsidRDefault="005F3EE8" w:rsidP="007C7803">
      <w:pPr>
        <w:rPr>
          <w:color w:val="000000" w:themeColor="text1"/>
          <w:sz w:val="28"/>
          <w:szCs w:val="28"/>
        </w:rPr>
      </w:pPr>
      <w:r w:rsidRPr="002A1B86">
        <w:rPr>
          <w:b/>
          <w:bCs/>
          <w:color w:val="000000" w:themeColor="text1"/>
          <w:sz w:val="28"/>
          <w:szCs w:val="28"/>
        </w:rPr>
        <w:t>P 5.</w:t>
      </w:r>
      <w:r w:rsidRPr="002A1B86">
        <w:rPr>
          <w:color w:val="000000" w:themeColor="text1"/>
          <w:sz w:val="28"/>
          <w:szCs w:val="28"/>
        </w:rPr>
        <w:t xml:space="preserve"> Le processus d’agrandissement et de démarrage d</w:t>
      </w:r>
      <w:r w:rsidR="002A1B86">
        <w:rPr>
          <w:color w:val="000000" w:themeColor="text1"/>
          <w:sz w:val="28"/>
          <w:szCs w:val="28"/>
        </w:rPr>
        <w:t>’</w:t>
      </w:r>
      <w:r w:rsidRPr="002A1B86">
        <w:rPr>
          <w:color w:val="000000" w:themeColor="text1"/>
          <w:sz w:val="28"/>
          <w:szCs w:val="28"/>
        </w:rPr>
        <w:t>érablière</w:t>
      </w:r>
      <w:r w:rsidR="002A1B86">
        <w:rPr>
          <w:color w:val="000000" w:themeColor="text1"/>
          <w:sz w:val="28"/>
          <w:szCs w:val="28"/>
        </w:rPr>
        <w:t>s</w:t>
      </w:r>
      <w:r w:rsidRPr="002A1B86">
        <w:rPr>
          <w:color w:val="000000" w:themeColor="text1"/>
          <w:sz w:val="28"/>
          <w:szCs w:val="28"/>
        </w:rPr>
        <w:t xml:space="preserve"> aura un impact sur le membership de L’Association Louise-Gosford et notre autofinancement.</w:t>
      </w:r>
    </w:p>
    <w:p w14:paraId="3A6C0CC1" w14:textId="77777777" w:rsidR="007C7803" w:rsidRPr="002A1B86" w:rsidRDefault="007C7803" w:rsidP="007C7803">
      <w:pPr>
        <w:rPr>
          <w:color w:val="000000" w:themeColor="text1"/>
          <w:sz w:val="28"/>
          <w:szCs w:val="28"/>
        </w:rPr>
      </w:pPr>
    </w:p>
    <w:p w14:paraId="51C5429A" w14:textId="3F261620" w:rsidR="00F92446" w:rsidRPr="002A1B86" w:rsidRDefault="00D06E8C" w:rsidP="00F92446">
      <w:pPr>
        <w:rPr>
          <w:b/>
          <w:bCs/>
          <w:color w:val="242424"/>
          <w:sz w:val="28"/>
          <w:szCs w:val="28"/>
          <w:bdr w:val="none" w:sz="0" w:space="0" w:color="auto" w:frame="1"/>
        </w:rPr>
      </w:pPr>
      <w:r w:rsidRPr="002A1B86">
        <w:rPr>
          <w:b/>
          <w:bCs/>
          <w:color w:val="242424"/>
          <w:sz w:val="28"/>
          <w:szCs w:val="28"/>
          <w:bdr w:val="none" w:sz="0" w:space="0" w:color="auto" w:frame="1"/>
        </w:rPr>
        <w:t>Les enjeux de L’Association Louise-Gosford :</w:t>
      </w:r>
    </w:p>
    <w:p w14:paraId="2B89E525" w14:textId="77777777" w:rsidR="00D06E8C" w:rsidRPr="002A1B86" w:rsidRDefault="00D06E8C" w:rsidP="00F92446">
      <w:pPr>
        <w:rPr>
          <w:color w:val="242424"/>
          <w:sz w:val="28"/>
          <w:szCs w:val="28"/>
          <w:bdr w:val="none" w:sz="0" w:space="0" w:color="auto" w:frame="1"/>
        </w:rPr>
      </w:pPr>
    </w:p>
    <w:p w14:paraId="041FD993" w14:textId="14ADFA2F" w:rsidR="00D06E8C" w:rsidRPr="002A1B86" w:rsidRDefault="00D06E8C" w:rsidP="00F92446">
      <w:pPr>
        <w:rPr>
          <w:color w:val="242424"/>
          <w:sz w:val="28"/>
          <w:szCs w:val="28"/>
          <w:bdr w:val="none" w:sz="0" w:space="0" w:color="auto" w:frame="1"/>
        </w:rPr>
      </w:pPr>
      <w:r w:rsidRPr="002A1B86">
        <w:rPr>
          <w:b/>
          <w:bCs/>
          <w:color w:val="242424"/>
          <w:sz w:val="28"/>
          <w:szCs w:val="28"/>
          <w:bdr w:val="none" w:sz="0" w:space="0" w:color="auto" w:frame="1"/>
        </w:rPr>
        <w:t>E 1</w:t>
      </w:r>
      <w:r w:rsidRPr="002A1B86">
        <w:rPr>
          <w:color w:val="242424"/>
          <w:sz w:val="28"/>
          <w:szCs w:val="28"/>
          <w:bdr w:val="none" w:sz="0" w:space="0" w:color="auto" w:frame="1"/>
        </w:rPr>
        <w:t xml:space="preserve">. </w:t>
      </w:r>
      <w:r w:rsidR="00180E86" w:rsidRPr="002A1B86">
        <w:rPr>
          <w:color w:val="242424"/>
          <w:sz w:val="28"/>
          <w:szCs w:val="28"/>
          <w:bdr w:val="none" w:sz="0" w:space="0" w:color="auto" w:frame="1"/>
        </w:rPr>
        <w:t xml:space="preserve">La ZEC Louise-Gosford est l’une </w:t>
      </w:r>
      <w:r w:rsidR="002A1B86">
        <w:rPr>
          <w:color w:val="242424"/>
          <w:sz w:val="28"/>
          <w:szCs w:val="28"/>
          <w:bdr w:val="none" w:sz="0" w:space="0" w:color="auto" w:frame="1"/>
        </w:rPr>
        <w:t>d</w:t>
      </w:r>
      <w:r w:rsidR="00180E86" w:rsidRPr="002A1B86">
        <w:rPr>
          <w:color w:val="242424"/>
          <w:sz w:val="28"/>
          <w:szCs w:val="28"/>
          <w:bdr w:val="none" w:sz="0" w:space="0" w:color="auto" w:frame="1"/>
        </w:rPr>
        <w:t>es trois (3) plus petites ZECS -168 km2 au Québec. Si projet d’agrandissement ou de démarrage de projet acéricole; quels seront les impacts sur l’ensemble des activités récréotouristiques du territoire</w:t>
      </w:r>
      <w:r w:rsidR="00484621" w:rsidRPr="002A1B86">
        <w:rPr>
          <w:color w:val="242424"/>
          <w:sz w:val="28"/>
          <w:szCs w:val="28"/>
          <w:bdr w:val="none" w:sz="0" w:space="0" w:color="auto" w:frame="1"/>
        </w:rPr>
        <w:t>?</w:t>
      </w:r>
    </w:p>
    <w:p w14:paraId="23A68A11" w14:textId="77777777" w:rsidR="00180E86" w:rsidRPr="002A1B86" w:rsidRDefault="00180E86" w:rsidP="00F92446">
      <w:pPr>
        <w:rPr>
          <w:color w:val="242424"/>
          <w:sz w:val="28"/>
          <w:szCs w:val="28"/>
          <w:bdr w:val="none" w:sz="0" w:space="0" w:color="auto" w:frame="1"/>
        </w:rPr>
      </w:pPr>
    </w:p>
    <w:p w14:paraId="1BBAF668" w14:textId="2F3D4A0B" w:rsidR="00F92446" w:rsidRPr="002A1B86" w:rsidRDefault="00180E86" w:rsidP="00F92446">
      <w:pPr>
        <w:rPr>
          <w:color w:val="242424"/>
          <w:sz w:val="28"/>
          <w:szCs w:val="28"/>
          <w:bdr w:val="none" w:sz="0" w:space="0" w:color="auto" w:frame="1"/>
        </w:rPr>
      </w:pPr>
      <w:r w:rsidRPr="002A1B86">
        <w:rPr>
          <w:b/>
          <w:bCs/>
          <w:color w:val="242424"/>
          <w:sz w:val="28"/>
          <w:szCs w:val="28"/>
          <w:bdr w:val="none" w:sz="0" w:space="0" w:color="auto" w:frame="1"/>
        </w:rPr>
        <w:t>E 2.</w:t>
      </w:r>
      <w:r w:rsidRPr="002A1B86">
        <w:rPr>
          <w:color w:val="242424"/>
          <w:sz w:val="28"/>
          <w:szCs w:val="28"/>
          <w:bdr w:val="none" w:sz="0" w:space="0" w:color="auto" w:frame="1"/>
        </w:rPr>
        <w:t xml:space="preserve"> L’Association Louise-Gosford participe présentement avec Tourisme Cantons-de-L’Est à un processus d’intervention stratégique afin de structurer le tourisme de montagne </w:t>
      </w:r>
      <w:r w:rsidRPr="002A1B86">
        <w:rPr>
          <w:b/>
          <w:bCs/>
          <w:color w:val="242424"/>
          <w:sz w:val="28"/>
          <w:szCs w:val="28"/>
          <w:bdr w:val="none" w:sz="0" w:space="0" w:color="auto" w:frame="1"/>
        </w:rPr>
        <w:t>« Plan Montagne ».</w:t>
      </w:r>
      <w:r w:rsidRPr="002A1B86">
        <w:rPr>
          <w:color w:val="242424"/>
          <w:sz w:val="28"/>
          <w:szCs w:val="28"/>
          <w:bdr w:val="none" w:sz="0" w:space="0" w:color="auto" w:frame="1"/>
        </w:rPr>
        <w:t xml:space="preserve"> Si projet d’agrandissement ou de démarrage</w:t>
      </w:r>
      <w:r w:rsidR="00484621" w:rsidRPr="002A1B86">
        <w:rPr>
          <w:color w:val="242424"/>
          <w:sz w:val="28"/>
          <w:szCs w:val="28"/>
          <w:bdr w:val="none" w:sz="0" w:space="0" w:color="auto" w:frame="1"/>
        </w:rPr>
        <w:t xml:space="preserve"> de projet acéricole;</w:t>
      </w:r>
      <w:r w:rsidRPr="002A1B86">
        <w:rPr>
          <w:color w:val="242424"/>
          <w:sz w:val="28"/>
          <w:szCs w:val="28"/>
          <w:bdr w:val="none" w:sz="0" w:space="0" w:color="auto" w:frame="1"/>
        </w:rPr>
        <w:t xml:space="preserve"> comment </w:t>
      </w:r>
      <w:r w:rsidR="00484621" w:rsidRPr="002A1B86">
        <w:rPr>
          <w:color w:val="242424"/>
          <w:sz w:val="28"/>
          <w:szCs w:val="28"/>
          <w:bdr w:val="none" w:sz="0" w:space="0" w:color="auto" w:frame="1"/>
        </w:rPr>
        <w:t>peut-on développer son offre de montagne sur quatre saisons et identifier les conditions de succès pour favoriser la mise en valeur du secteur Gosford?</w:t>
      </w:r>
    </w:p>
    <w:p w14:paraId="2852F86B" w14:textId="77777777" w:rsidR="00484621" w:rsidRPr="002A1B86" w:rsidRDefault="00484621" w:rsidP="00F92446">
      <w:pPr>
        <w:rPr>
          <w:color w:val="242424"/>
          <w:sz w:val="28"/>
          <w:szCs w:val="28"/>
          <w:bdr w:val="none" w:sz="0" w:space="0" w:color="auto" w:frame="1"/>
        </w:rPr>
      </w:pPr>
    </w:p>
    <w:p w14:paraId="2B6CE378" w14:textId="71639A5D" w:rsidR="00484621" w:rsidRPr="002A1B86" w:rsidRDefault="00484621" w:rsidP="00F92446">
      <w:pPr>
        <w:rPr>
          <w:color w:val="242424"/>
          <w:sz w:val="28"/>
          <w:szCs w:val="28"/>
          <w:bdr w:val="none" w:sz="0" w:space="0" w:color="auto" w:frame="1"/>
        </w:rPr>
      </w:pPr>
      <w:r w:rsidRPr="002A1B86">
        <w:rPr>
          <w:b/>
          <w:bCs/>
          <w:color w:val="242424"/>
          <w:sz w:val="28"/>
          <w:szCs w:val="28"/>
          <w:bdr w:val="none" w:sz="0" w:space="0" w:color="auto" w:frame="1"/>
        </w:rPr>
        <w:lastRenderedPageBreak/>
        <w:t>E 3</w:t>
      </w:r>
      <w:r w:rsidR="00CF089D" w:rsidRPr="002A1B86">
        <w:rPr>
          <w:b/>
          <w:bCs/>
          <w:color w:val="242424"/>
          <w:sz w:val="28"/>
          <w:szCs w:val="28"/>
          <w:bdr w:val="none" w:sz="0" w:space="0" w:color="auto" w:frame="1"/>
        </w:rPr>
        <w:t>.</w:t>
      </w:r>
      <w:r w:rsidR="00CF089D" w:rsidRPr="002A1B86">
        <w:rPr>
          <w:color w:val="242424"/>
          <w:sz w:val="28"/>
          <w:szCs w:val="28"/>
          <w:bdr w:val="none" w:sz="0" w:space="0" w:color="auto" w:frame="1"/>
        </w:rPr>
        <w:t xml:space="preserve"> Des projets acéricoles d’agrandissement et de démarrage d’érablière</w:t>
      </w:r>
      <w:r w:rsidR="00991372" w:rsidRPr="002A1B86">
        <w:rPr>
          <w:color w:val="242424"/>
          <w:sz w:val="28"/>
          <w:szCs w:val="28"/>
          <w:bdr w:val="none" w:sz="0" w:space="0" w:color="auto" w:frame="1"/>
        </w:rPr>
        <w:t>s</w:t>
      </w:r>
      <w:r w:rsidR="00CF089D" w:rsidRPr="002A1B86">
        <w:rPr>
          <w:color w:val="242424"/>
          <w:sz w:val="28"/>
          <w:szCs w:val="28"/>
          <w:bdr w:val="none" w:sz="0" w:space="0" w:color="auto" w:frame="1"/>
        </w:rPr>
        <w:t xml:space="preserve"> sur le territoire de la ZEC Louise-Gosford diminue</w:t>
      </w:r>
      <w:r w:rsidR="002A1B86">
        <w:rPr>
          <w:color w:val="242424"/>
          <w:sz w:val="28"/>
          <w:szCs w:val="28"/>
          <w:bdr w:val="none" w:sz="0" w:space="0" w:color="auto" w:frame="1"/>
        </w:rPr>
        <w:t>nt</w:t>
      </w:r>
      <w:r w:rsidR="00CF089D" w:rsidRPr="002A1B86">
        <w:rPr>
          <w:color w:val="242424"/>
          <w:sz w:val="28"/>
          <w:szCs w:val="28"/>
          <w:bdr w:val="none" w:sz="0" w:space="0" w:color="auto" w:frame="1"/>
        </w:rPr>
        <w:t xml:space="preserve"> le nombre de kilomètre</w:t>
      </w:r>
      <w:r w:rsidR="00405DAD">
        <w:rPr>
          <w:color w:val="242424"/>
          <w:sz w:val="28"/>
          <w:szCs w:val="28"/>
          <w:bdr w:val="none" w:sz="0" w:space="0" w:color="auto" w:frame="1"/>
        </w:rPr>
        <w:t>s</w:t>
      </w:r>
      <w:r w:rsidR="00CF089D" w:rsidRPr="002A1B86">
        <w:rPr>
          <w:color w:val="242424"/>
          <w:sz w:val="28"/>
          <w:szCs w:val="28"/>
          <w:bdr w:val="none" w:sz="0" w:space="0" w:color="auto" w:frame="1"/>
        </w:rPr>
        <w:t xml:space="preserve"> au niveau accessibilité</w:t>
      </w:r>
      <w:r w:rsidR="00222BA6" w:rsidRPr="002A1B86">
        <w:rPr>
          <w:color w:val="242424"/>
          <w:sz w:val="28"/>
          <w:szCs w:val="28"/>
          <w:bdr w:val="none" w:sz="0" w:space="0" w:color="auto" w:frame="1"/>
        </w:rPr>
        <w:t xml:space="preserve"> </w:t>
      </w:r>
      <w:r w:rsidR="00CF089D" w:rsidRPr="002A1B86">
        <w:rPr>
          <w:color w:val="242424"/>
          <w:sz w:val="28"/>
          <w:szCs w:val="28"/>
          <w:bdr w:val="none" w:sz="0" w:space="0" w:color="auto" w:frame="1"/>
        </w:rPr>
        <w:t xml:space="preserve">et </w:t>
      </w:r>
      <w:r w:rsidR="002A1B86" w:rsidRPr="002A1B86">
        <w:rPr>
          <w:color w:val="242424"/>
          <w:sz w:val="28"/>
          <w:szCs w:val="28"/>
          <w:bdr w:val="none" w:sz="0" w:space="0" w:color="auto" w:frame="1"/>
        </w:rPr>
        <w:t>amène</w:t>
      </w:r>
      <w:r w:rsidR="002A1B86">
        <w:rPr>
          <w:color w:val="242424"/>
          <w:sz w:val="28"/>
          <w:szCs w:val="28"/>
          <w:bdr w:val="none" w:sz="0" w:space="0" w:color="auto" w:frame="1"/>
        </w:rPr>
        <w:t>nt</w:t>
      </w:r>
      <w:r w:rsidR="00CF089D" w:rsidRPr="002A1B86">
        <w:rPr>
          <w:color w:val="242424"/>
          <w:sz w:val="28"/>
          <w:szCs w:val="28"/>
          <w:bdr w:val="none" w:sz="0" w:space="0" w:color="auto" w:frame="1"/>
        </w:rPr>
        <w:t xml:space="preserve"> une restriction des usages du territoire. Est-ce qu’il pourrait y avoir en contrepartie un </w:t>
      </w:r>
      <w:r w:rsidR="00222BA6" w:rsidRPr="002A1B86">
        <w:rPr>
          <w:color w:val="242424"/>
          <w:sz w:val="28"/>
          <w:szCs w:val="28"/>
          <w:bdr w:val="none" w:sz="0" w:space="0" w:color="auto" w:frame="1"/>
        </w:rPr>
        <w:t>dédommagement</w:t>
      </w:r>
      <w:r w:rsidR="00CF089D" w:rsidRPr="002A1B86">
        <w:rPr>
          <w:color w:val="242424"/>
          <w:sz w:val="28"/>
          <w:szCs w:val="28"/>
          <w:bdr w:val="none" w:sz="0" w:space="0" w:color="auto" w:frame="1"/>
        </w:rPr>
        <w:t xml:space="preserve">?  </w:t>
      </w:r>
    </w:p>
    <w:p w14:paraId="54455A97" w14:textId="6E8BC454" w:rsidR="00D70502" w:rsidRPr="002A1B86" w:rsidRDefault="00D70502" w:rsidP="00480F36">
      <w:pPr>
        <w:rPr>
          <w:color w:val="242424"/>
          <w:sz w:val="28"/>
          <w:szCs w:val="28"/>
          <w:bdr w:val="none" w:sz="0" w:space="0" w:color="auto" w:frame="1"/>
        </w:rPr>
      </w:pPr>
    </w:p>
    <w:p w14:paraId="4D31153E" w14:textId="2A0E8805" w:rsidR="000F7A53" w:rsidRPr="002A1B86" w:rsidRDefault="005A1BE9">
      <w:pPr>
        <w:rPr>
          <w:sz w:val="28"/>
          <w:szCs w:val="28"/>
        </w:rPr>
      </w:pPr>
      <w:r w:rsidRPr="002A1B86">
        <w:rPr>
          <w:b/>
          <w:bCs/>
          <w:sz w:val="28"/>
          <w:szCs w:val="28"/>
        </w:rPr>
        <w:t>E 4.</w:t>
      </w:r>
      <w:r w:rsidRPr="002A1B86">
        <w:rPr>
          <w:sz w:val="28"/>
          <w:szCs w:val="28"/>
        </w:rPr>
        <w:t xml:space="preserve"> Avant d’octroyer de nouveaux projets acéricoles d’agrandissement et de démarrage dans le secteur Gosford! Nous demandons un suivi des projets d’érablières qui sont en cours d’installation afin de mesurer les processus suivants : la qualité de cohabitation, l’arrimage avec les parties prenantes, la </w:t>
      </w:r>
      <w:r w:rsidR="00596678" w:rsidRPr="002A1B86">
        <w:rPr>
          <w:sz w:val="28"/>
          <w:szCs w:val="28"/>
        </w:rPr>
        <w:t>compatibilité</w:t>
      </w:r>
      <w:r w:rsidRPr="002A1B86">
        <w:rPr>
          <w:sz w:val="28"/>
          <w:szCs w:val="28"/>
        </w:rPr>
        <w:t xml:space="preserve"> avec l’offre actuelle</w:t>
      </w:r>
      <w:r w:rsidR="00596678" w:rsidRPr="002A1B86">
        <w:rPr>
          <w:sz w:val="28"/>
          <w:szCs w:val="28"/>
        </w:rPr>
        <w:t xml:space="preserve"> et le respect des ententes d’harmonisation.</w:t>
      </w:r>
    </w:p>
    <w:p w14:paraId="1E9D79B5" w14:textId="77777777" w:rsidR="00F41DED" w:rsidRPr="002A1B86" w:rsidRDefault="00F41DED">
      <w:pPr>
        <w:rPr>
          <w:sz w:val="28"/>
          <w:szCs w:val="28"/>
        </w:rPr>
      </w:pPr>
    </w:p>
    <w:p w14:paraId="79A9799F" w14:textId="08D94A12" w:rsidR="00F41DED" w:rsidRPr="002A1B86" w:rsidRDefault="00F41DED">
      <w:pPr>
        <w:rPr>
          <w:sz w:val="28"/>
          <w:szCs w:val="28"/>
        </w:rPr>
      </w:pPr>
      <w:r w:rsidRPr="002A1B86">
        <w:rPr>
          <w:sz w:val="28"/>
          <w:szCs w:val="28"/>
        </w:rPr>
        <w:t>L’Association Louise-Gosford est consciente que la préservation de la biodiversité est considérée comme un des enjeux essentiels du développement durable.</w:t>
      </w:r>
    </w:p>
    <w:p w14:paraId="4F9E9540" w14:textId="77777777" w:rsidR="00F41DED" w:rsidRPr="002A1B86" w:rsidRDefault="00F41DED">
      <w:pPr>
        <w:rPr>
          <w:sz w:val="28"/>
          <w:szCs w:val="28"/>
        </w:rPr>
      </w:pPr>
    </w:p>
    <w:p w14:paraId="0A812285" w14:textId="318BE823" w:rsidR="00F41DED" w:rsidRPr="002A1B86" w:rsidRDefault="000D0014">
      <w:pPr>
        <w:rPr>
          <w:sz w:val="28"/>
          <w:szCs w:val="28"/>
        </w:rPr>
      </w:pPr>
      <w:r w:rsidRPr="002A1B86">
        <w:rPr>
          <w:sz w:val="28"/>
          <w:szCs w:val="28"/>
        </w:rPr>
        <w:t>L’Association Louise-Gosford investit temps et argent pour stimuler les activités de plein air et favoriser l’accessibilité aux différents utilisateurs de la Zec Louise-Gosford pour renouer avec la nature et pour la protéger.</w:t>
      </w:r>
    </w:p>
    <w:p w14:paraId="0B97293D" w14:textId="7A937A3C" w:rsidR="00CA6289" w:rsidRPr="002A1B86" w:rsidRDefault="00CA6289" w:rsidP="00CA6289">
      <w:pPr>
        <w:pStyle w:val="NormalWeb"/>
        <w:rPr>
          <w:color w:val="000000"/>
          <w:sz w:val="28"/>
          <w:szCs w:val="28"/>
        </w:rPr>
      </w:pPr>
      <w:r w:rsidRPr="002A1B86">
        <w:rPr>
          <w:sz w:val="28"/>
          <w:szCs w:val="28"/>
        </w:rPr>
        <w:t>Le calme, la détente et l'attachement au lieu sont les trois services non écosystémiques (fournis par les gestionnaires de zecs ou autres) les plus importants. Les services associés à l'accès aux territoires et à la sécurité sont également positivement valorisés. La contribution de ces territoires à l'économie locale est également un point important.</w:t>
      </w:r>
    </w:p>
    <w:p w14:paraId="3A8E15AF" w14:textId="77777777" w:rsidR="000D0014" w:rsidRPr="002A1B86" w:rsidRDefault="000D0014" w:rsidP="000D0014">
      <w:pPr>
        <w:rPr>
          <w:color w:val="000000" w:themeColor="text1"/>
          <w:sz w:val="28"/>
          <w:szCs w:val="28"/>
          <w:shd w:val="clear" w:color="auto" w:fill="FFFFFF"/>
        </w:rPr>
      </w:pPr>
      <w:r w:rsidRPr="002A1B86">
        <w:rPr>
          <w:color w:val="000000" w:themeColor="text1"/>
          <w:sz w:val="28"/>
          <w:szCs w:val="28"/>
          <w:shd w:val="clear" w:color="auto" w:fill="FFFFFF"/>
        </w:rPr>
        <w:t>Nous nous tenons, bien entendu, à votre disposition pour tous renseignements complémentaires.</w:t>
      </w:r>
    </w:p>
    <w:p w14:paraId="77E2B1F0" w14:textId="77777777" w:rsidR="000D0014" w:rsidRPr="002A1B86" w:rsidRDefault="000D0014" w:rsidP="000D0014">
      <w:pPr>
        <w:rPr>
          <w:color w:val="000000" w:themeColor="text1"/>
          <w:sz w:val="28"/>
          <w:szCs w:val="28"/>
          <w:shd w:val="clear" w:color="auto" w:fill="FFFFFF"/>
        </w:rPr>
      </w:pPr>
    </w:p>
    <w:p w14:paraId="4ED13C72" w14:textId="07E8F0CD" w:rsidR="000D0014" w:rsidRPr="002A1B86" w:rsidRDefault="000D0014" w:rsidP="000D0014">
      <w:pPr>
        <w:rPr>
          <w:color w:val="000000" w:themeColor="text1"/>
          <w:sz w:val="28"/>
          <w:szCs w:val="28"/>
          <w:shd w:val="clear" w:color="auto" w:fill="FFFFFF"/>
        </w:rPr>
      </w:pPr>
      <w:r w:rsidRPr="002A1B86">
        <w:rPr>
          <w:color w:val="000000" w:themeColor="text1"/>
          <w:sz w:val="28"/>
          <w:szCs w:val="28"/>
          <w:shd w:val="clear" w:color="auto" w:fill="FFFFFF"/>
        </w:rPr>
        <w:t>Recevez</w:t>
      </w:r>
      <w:r w:rsidR="002A1B86">
        <w:rPr>
          <w:color w:val="000000" w:themeColor="text1"/>
          <w:sz w:val="28"/>
          <w:szCs w:val="28"/>
          <w:shd w:val="clear" w:color="auto" w:fill="FFFFFF"/>
        </w:rPr>
        <w:t>,</w:t>
      </w:r>
      <w:r w:rsidRPr="002A1B86">
        <w:rPr>
          <w:color w:val="000000" w:themeColor="text1"/>
          <w:sz w:val="28"/>
          <w:szCs w:val="28"/>
          <w:shd w:val="clear" w:color="auto" w:fill="FFFFFF"/>
        </w:rPr>
        <w:t xml:space="preserve"> M. Jaccard, M. Provost,</w:t>
      </w:r>
      <w:r w:rsidR="00991372" w:rsidRPr="002A1B86">
        <w:rPr>
          <w:color w:val="000000" w:themeColor="text1"/>
          <w:sz w:val="28"/>
          <w:szCs w:val="28"/>
          <w:shd w:val="clear" w:color="auto" w:fill="FFFFFF"/>
        </w:rPr>
        <w:t xml:space="preserve"> M. Thibault-Gobeil</w:t>
      </w:r>
      <w:r w:rsidR="00C52740">
        <w:rPr>
          <w:color w:val="000000" w:themeColor="text1"/>
          <w:sz w:val="28"/>
          <w:szCs w:val="28"/>
          <w:shd w:val="clear" w:color="auto" w:fill="FFFFFF"/>
        </w:rPr>
        <w:t>,</w:t>
      </w:r>
      <w:r w:rsidRPr="002A1B86">
        <w:rPr>
          <w:color w:val="000000" w:themeColor="text1"/>
          <w:sz w:val="28"/>
          <w:szCs w:val="28"/>
          <w:shd w:val="clear" w:color="auto" w:fill="FFFFFF"/>
        </w:rPr>
        <w:t xml:space="preserve"> nos meilleures salutations.</w:t>
      </w:r>
    </w:p>
    <w:p w14:paraId="4C08CFC8" w14:textId="77777777" w:rsidR="000D0014" w:rsidRPr="002A1B86" w:rsidRDefault="000D0014" w:rsidP="000D0014">
      <w:pPr>
        <w:rPr>
          <w:color w:val="000000" w:themeColor="text1"/>
          <w:sz w:val="28"/>
          <w:szCs w:val="28"/>
          <w:shd w:val="clear" w:color="auto" w:fill="FFFFFF"/>
        </w:rPr>
      </w:pPr>
    </w:p>
    <w:p w14:paraId="09181ADA" w14:textId="77777777" w:rsidR="000D0014" w:rsidRPr="002A1B86" w:rsidRDefault="000D0014" w:rsidP="000D0014">
      <w:pPr>
        <w:rPr>
          <w:color w:val="000000" w:themeColor="text1"/>
          <w:sz w:val="28"/>
          <w:szCs w:val="28"/>
          <w:shd w:val="clear" w:color="auto" w:fill="FFFFFF"/>
        </w:rPr>
      </w:pPr>
    </w:p>
    <w:p w14:paraId="7CCAE5F3" w14:textId="77777777" w:rsidR="000D0014" w:rsidRPr="002A1B86" w:rsidRDefault="000D0014" w:rsidP="000D0014">
      <w:pPr>
        <w:rPr>
          <w:color w:val="000000" w:themeColor="text1"/>
          <w:sz w:val="28"/>
          <w:szCs w:val="28"/>
          <w:shd w:val="clear" w:color="auto" w:fill="FFFFFF"/>
        </w:rPr>
      </w:pPr>
      <w:r w:rsidRPr="002A1B86">
        <w:rPr>
          <w:color w:val="000000" w:themeColor="text1"/>
          <w:sz w:val="28"/>
          <w:szCs w:val="28"/>
          <w:shd w:val="clear" w:color="auto" w:fill="FFFFFF"/>
        </w:rPr>
        <w:t>Mario Lacasse, président</w:t>
      </w:r>
    </w:p>
    <w:p w14:paraId="0EE4836E" w14:textId="77777777" w:rsidR="000D0014" w:rsidRPr="002A1B86" w:rsidRDefault="000D0014" w:rsidP="000D0014">
      <w:pPr>
        <w:rPr>
          <w:color w:val="000000" w:themeColor="text1"/>
          <w:sz w:val="28"/>
          <w:szCs w:val="28"/>
          <w:shd w:val="clear" w:color="auto" w:fill="FFFFFF"/>
        </w:rPr>
      </w:pPr>
      <w:r w:rsidRPr="002A1B86">
        <w:rPr>
          <w:color w:val="000000" w:themeColor="text1"/>
          <w:sz w:val="28"/>
          <w:szCs w:val="28"/>
          <w:shd w:val="clear" w:color="auto" w:fill="FFFFFF"/>
        </w:rPr>
        <w:t>Pour L’Association Louise-Gosford</w:t>
      </w:r>
    </w:p>
    <w:p w14:paraId="6F92D904" w14:textId="77777777" w:rsidR="000D0014" w:rsidRPr="002A1B86" w:rsidRDefault="000D0014" w:rsidP="000D0014">
      <w:pPr>
        <w:rPr>
          <w:color w:val="000000" w:themeColor="text1"/>
          <w:sz w:val="28"/>
          <w:szCs w:val="28"/>
          <w:bdr w:val="none" w:sz="0" w:space="0" w:color="auto" w:frame="1"/>
        </w:rPr>
      </w:pPr>
      <w:r w:rsidRPr="002A1B86">
        <w:rPr>
          <w:color w:val="000000" w:themeColor="text1"/>
          <w:sz w:val="28"/>
          <w:szCs w:val="28"/>
          <w:bdr w:val="none" w:sz="0" w:space="0" w:color="auto" w:frame="1"/>
        </w:rPr>
        <w:t xml:space="preserve"> </w:t>
      </w:r>
    </w:p>
    <w:p w14:paraId="6F9C6849" w14:textId="77777777" w:rsidR="000D0014" w:rsidRPr="002A1B86" w:rsidRDefault="000D0014" w:rsidP="000D0014">
      <w:pPr>
        <w:rPr>
          <w:color w:val="000000" w:themeColor="text1"/>
          <w:sz w:val="28"/>
          <w:szCs w:val="28"/>
        </w:rPr>
      </w:pPr>
    </w:p>
    <w:p w14:paraId="48A344AA" w14:textId="77777777" w:rsidR="000D0014" w:rsidRPr="002A1B86" w:rsidRDefault="000D0014">
      <w:pPr>
        <w:rPr>
          <w:sz w:val="28"/>
          <w:szCs w:val="28"/>
        </w:rPr>
      </w:pPr>
    </w:p>
    <w:p w14:paraId="38FD1B34" w14:textId="77777777" w:rsidR="00596678" w:rsidRPr="002A1B86" w:rsidRDefault="00596678">
      <w:pPr>
        <w:rPr>
          <w:sz w:val="28"/>
          <w:szCs w:val="28"/>
        </w:rPr>
      </w:pPr>
    </w:p>
    <w:sectPr w:rsidR="00596678" w:rsidRPr="002A1B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5EB2"/>
    <w:multiLevelType w:val="hybridMultilevel"/>
    <w:tmpl w:val="5EB491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704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36"/>
    <w:rsid w:val="000D0014"/>
    <w:rsid w:val="000F7A53"/>
    <w:rsid w:val="00121E00"/>
    <w:rsid w:val="00180E86"/>
    <w:rsid w:val="0021346B"/>
    <w:rsid w:val="00222BA6"/>
    <w:rsid w:val="00261B7E"/>
    <w:rsid w:val="002A1B86"/>
    <w:rsid w:val="00405DAD"/>
    <w:rsid w:val="004327A1"/>
    <w:rsid w:val="00480F36"/>
    <w:rsid w:val="00484621"/>
    <w:rsid w:val="004D4203"/>
    <w:rsid w:val="00596678"/>
    <w:rsid w:val="005A1BE9"/>
    <w:rsid w:val="005F3EE8"/>
    <w:rsid w:val="007C7803"/>
    <w:rsid w:val="008E56C1"/>
    <w:rsid w:val="00991372"/>
    <w:rsid w:val="00C52740"/>
    <w:rsid w:val="00CA4989"/>
    <w:rsid w:val="00CA6289"/>
    <w:rsid w:val="00CF089D"/>
    <w:rsid w:val="00D06E8C"/>
    <w:rsid w:val="00D70502"/>
    <w:rsid w:val="00DC20B9"/>
    <w:rsid w:val="00F41DED"/>
    <w:rsid w:val="00F924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CDDC"/>
  <w15:chartTrackingRefBased/>
  <w15:docId w15:val="{952E1430-9B00-45E5-9F99-0FC2057F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36"/>
    <w:pPr>
      <w:spacing w:after="0" w:line="240" w:lineRule="auto"/>
    </w:pPr>
    <w:rPr>
      <w:rFonts w:ascii="Times New Roman" w:eastAsia="Times New Roman" w:hAnsi="Times New Roman" w:cs="Times New Roman"/>
      <w:kern w:val="0"/>
      <w:sz w:val="24"/>
      <w:szCs w:val="24"/>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803"/>
    <w:pPr>
      <w:ind w:left="720"/>
      <w:contextualSpacing/>
    </w:pPr>
  </w:style>
  <w:style w:type="paragraph" w:styleId="NormalWeb">
    <w:name w:val="Normal (Web)"/>
    <w:basedOn w:val="Normal"/>
    <w:uiPriority w:val="99"/>
    <w:unhideWhenUsed/>
    <w:rsid w:val="00CA6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3</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Lacasse</dc:creator>
  <cp:keywords/>
  <dc:description/>
  <cp:lastModifiedBy>Mario Lacasse</cp:lastModifiedBy>
  <cp:revision>20</cp:revision>
  <cp:lastPrinted>2023-08-18T16:35:00Z</cp:lastPrinted>
  <dcterms:created xsi:type="dcterms:W3CDTF">2023-08-15T14:33:00Z</dcterms:created>
  <dcterms:modified xsi:type="dcterms:W3CDTF">2023-08-23T11:06:00Z</dcterms:modified>
</cp:coreProperties>
</file>